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b w:val="1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4"/>
          <w:szCs w:val="24"/>
          <w:rtl w:val="0"/>
        </w:rPr>
        <w:t xml:space="preserve">PARECER  CME Nº 006/2010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jc w:val="both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                   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69" w:right="-93" w:firstLine="1133.9999999999998"/>
        <w:jc w:val="both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402" w:right="-9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Manifesta-se sobre a equivalência série/ano de alunos da 3ª série do Ensino Fundamental de 8 anos para o 4º ano do Ensino Fundamental de 9 anos na Escola Municipal de Ensino Fundamental Portugal.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RELATÓRIO: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sz w:val="24"/>
          <w:szCs w:val="24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A Secretaria Municipal de Educação, através do Ofício Asp. Leg. Nº 179/2010, solicita a este colegiado Parecer que ampare o registro da vida escolar dos educandos da Escola Municipal de Ensino Fundamental Portugal, referente à passagem da 3ª série do Ensino Fundamental de 8 anos para o 4º ano do Ensino Fundamental de 9 anos.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ANÁLISE DA MATÉRIA: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ab/>
        <w:tab/>
        <w:t xml:space="preserve">2. Segundo a justificativa da Secretaria Municipal de Educação, havia 120 crianças inscritas para o 1º ano do Ensino Fundamental de 9 anos, excedentes ao número de vagas que a escola disponibilizava na ocasião. 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i w:val="1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ab/>
        <w:tab/>
        <w:t xml:space="preserve">3. A LDBEN no seu artigo 5º diz que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24"/>
          <w:szCs w:val="24"/>
          <w:rtl w:val="0"/>
        </w:rPr>
        <w:t xml:space="preserve">“O acesso ao ensino fundamental é direito público” 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e no § 5º deste mesmo artigo afirma: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24"/>
          <w:szCs w:val="24"/>
          <w:rtl w:val="0"/>
        </w:rPr>
        <w:t xml:space="preserve"> “Para garantir o cumprimento da obrigatoriedade de ensino, o Poder Público criará formas alternativas de acesso aos diferentes níveis de ensino, independentemente da escolarização anterior.”  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No artigo 23, em seu § 1º, a lei diz o seguinte: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24"/>
          <w:szCs w:val="24"/>
          <w:rtl w:val="0"/>
        </w:rPr>
        <w:t xml:space="preserve">“A escola poderá reclassificar os alunos, inclusive quando se tratar de transferências entre estabelecimentos situados no País e no exterior, tendo como base as normas curriculares gerais.” 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O artigo 25 chama ao compromisso das autoridades: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24"/>
          <w:szCs w:val="24"/>
          <w:rtl w:val="0"/>
        </w:rPr>
        <w:t xml:space="preserve"> “Será objetivo permanente das autoridades responsáveis alcançar relação adequada entre o número de alunos e o professor, a carga horária e as condições materiais do estabelecimento.”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i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i w:val="1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ab/>
        <w:tab/>
        <w:t xml:space="preserve">4. A Resolução CME Nº 006/2007, em seu artigo 15, assim se pronuncia: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24"/>
          <w:szCs w:val="24"/>
          <w:rtl w:val="0"/>
        </w:rPr>
        <w:t xml:space="preserve">“Nas escolas que implantaram o Ensino Fundamental de 09 (nove) anos, os alunos do currículo de 08 (oito) anos que porventura reprovarem, a cada série extinta far-se-á a equivalência série/ano para o currículo de 09 (nove) anos.” 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Em seu artigo 16, que trata especificamente da transferência entre o currículo de 8 (oito) e 9 (nove) anos de duração, dispõe: '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24"/>
          <w:szCs w:val="24"/>
          <w:rtl w:val="0"/>
        </w:rPr>
        <w:t xml:space="preserve">No caso de transferência de alunos entre o currículo de 08 (oito) e 09 (nove) anos de duração, a avaliação seguirá os critérios de adequação idade/ano/série/ciclo escolar, grau de experiência e desenvolvimento do aluno, realizados na própria escola que o receber, apontando o ano/série/ciclo em que deverá ser matriculado, de acordo com o Parecer CNE/CEB n.º 07/07, voto do relator, letra C: “a não aplicação de qualquer medida que possa ser interpretada como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z w:val="24"/>
          <w:szCs w:val="24"/>
          <w:rtl w:val="0"/>
        </w:rPr>
        <w:t xml:space="preserve">retrocesso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24"/>
          <w:szCs w:val="24"/>
          <w:rtl w:val="0"/>
        </w:rPr>
        <w:t xml:space="preserve">o que poderia contribuir para o indesejável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z w:val="24"/>
          <w:szCs w:val="24"/>
          <w:rtl w:val="0"/>
        </w:rPr>
        <w:t xml:space="preserve">fracasso escolar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24"/>
          <w:szCs w:val="24"/>
          <w:rtl w:val="0"/>
        </w:rPr>
        <w:t xml:space="preserve">'. (grifos do autor)”.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i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both"/>
        <w:rPr>
          <w:rFonts w:ascii="Arial" w:cs="Arial" w:eastAsia="Arial" w:hAnsi="Arial"/>
          <w:i w:val="1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mallCaps w:val="0"/>
          <w:color w:val="ff0000"/>
          <w:sz w:val="24"/>
          <w:szCs w:val="24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5. No Parecer CME Nº 002/2009, este colegiado manifestou-se sobre um caso similar, amparando o registro da vida escolar de 07 (sete) alunos que estavam matriculados em uma escola municipal, na 2ª série. A escola realizou equivalência para o 3º ano do Ensino Fundamental de 9 anos, levando em consideração a Proposta Pedagógica e Planos de Estudos da mesma e a faixa etária dos educandos,  para que não se ofertasse uma turma com apenas 07 (sete) alunos.</w:t>
      </w:r>
      <w:r w:rsidDel="00000000" w:rsidR="00000000" w:rsidRPr="00000000">
        <w:rPr>
          <w:rFonts w:ascii="Arial" w:cs="Arial" w:eastAsia="Arial" w:hAnsi="Arial"/>
          <w:i w:val="1"/>
          <w:smallCaps w:val="0"/>
          <w:sz w:val="24"/>
          <w:szCs w:val="24"/>
          <w:rtl w:val="0"/>
        </w:rPr>
        <w:t xml:space="preserve">                               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both"/>
        <w:rPr>
          <w:rFonts w:ascii="Arial" w:cs="Arial" w:eastAsia="Arial" w:hAnsi="Arial"/>
          <w:i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both"/>
        <w:rPr>
          <w:rFonts w:ascii="Arial" w:cs="Arial" w:eastAsia="Arial" w:hAnsi="Arial"/>
          <w:i w:val="1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CONCLUSÃO: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234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 Cachoeirinha teve um crescimento demográfico intenso, especialmente no entorno da EMEF Portugal, em virtude dos novos bairros surgidos, das ocupações e dos três conjuntos residenciais do PAR (Programa de Arrendamento Residencial), o que gerou um aumento da população em idade escolar na região.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Dado esse fato, houve uma grande procura por vagas na referida escola. É perceptível a preferência da comunidade por essa instituição, por atender ao ensino fundamental completo e ter uma história de existência que surgiu juntamente com o bairro, tornando-se uma referência para essa comunidade.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jc w:val="both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color w:val="ff0000"/>
          <w:sz w:val="24"/>
          <w:szCs w:val="24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Entendemos que a</w:t>
      </w:r>
      <w:r w:rsidDel="00000000" w:rsidR="00000000" w:rsidRPr="00000000">
        <w:rPr>
          <w:rFonts w:ascii="Arial" w:cs="Arial" w:eastAsia="Arial" w:hAnsi="Arial"/>
          <w:smallCaps w:val="0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gestão pública de qualidade deve considerar o administrativo e o pedagógico e avaliamos que as ações na busca da solução observaram tal preceito, de forma a adequar o maior número de alunos possível nas turmas, sem prejuízos na aprendizagem.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Este colegiado alerta essa instituição para a observação dos documentos legais, garantindo a legitimidade de todo processo acima exposto, assegurando que a legislação seja cumprida e garantido a vida escolar dos alunos transferidos para o 4º ano.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Solicitamos também o acompanhamento da Entidade Mantenedora, propiciando o suporte necessário para que a equipe da escola realize os procedimentos necessários e adequados.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10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 xml:space="preserve">Face ao exposto, este colegiado ampara o procedimento da escola e a decisão da Secretaria Municipal de Educação (SMEd), atendendo à demanda descrita na análise da matéria.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1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jc w:val="right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mallCaps w:val="0"/>
          <w:sz w:val="24"/>
          <w:szCs w:val="24"/>
          <w:rtl w:val="0"/>
        </w:rPr>
        <w:t xml:space="preserve">Aprovado em plenária, por unanimidade dos presentes, nesta data.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right"/>
        <w:rPr>
          <w:rFonts w:ascii="Arial" w:cs="Arial" w:eastAsia="Arial" w:hAnsi="Arial"/>
          <w:smallCap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Cachoeirinha, 13 de julho de 2010.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Rosa Maria Lippert Cardoso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  <w:tab/>
        <w:t xml:space="preserve">     Presidente do CME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6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7" w:w="11905" w:orient="portrait"/>
      <w:pgMar w:bottom="1134" w:top="2189" w:left="1418" w:right="1418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Rua Anápio Gomes, 329 – Bairro Eunice Velha  -  Fone/fax: 51-3471-3483  -  E-mail: cmecaeb@hotmail.com</w:t>
    </w:r>
  </w:p>
  <w:p w:rsidR="00000000" w:rsidDel="00000000" w:rsidP="00000000" w:rsidRDefault="00000000" w:rsidRPr="00000000" w14:paraId="0000002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80"/>
        <w:sz w:val="16"/>
        <w:szCs w:val="16"/>
        <w:u w:val="singl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site: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80"/>
          <w:sz w:val="16"/>
          <w:szCs w:val="16"/>
          <w:u w:val="single"/>
          <w:shd w:fill="auto" w:val="clear"/>
          <w:vertAlign w:val="baseline"/>
          <w:rtl w:val="0"/>
        </w:rPr>
        <w:t xml:space="preserve">http://educacao.cachoeirinha.rs.gov.br/conselho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CACHOEIRINHA – RS</w:t>
    </w:r>
  </w:p>
  <w:p w:rsidR="00000000" w:rsidDel="00000000" w:rsidP="00000000" w:rsidRDefault="00000000" w:rsidRPr="00000000" w14:paraId="0000003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                                                             </w:t>
    </w:r>
  </w:p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PREFEITURA MUNICIPAL DE CACHOEIRINHA</w:t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343535</wp:posOffset>
          </wp:positionH>
          <wp:positionV relativeFrom="paragraph">
            <wp:posOffset>2540</wp:posOffset>
          </wp:positionV>
          <wp:extent cx="1315720" cy="591185"/>
          <wp:effectExtent b="0" l="0" r="0" t="0"/>
          <wp:wrapTopAndBottom distB="0" dist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5720" cy="59118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 SISTEMA MUNICIPAL DE ENSINO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     CONSELHO MUNICIPAL DE EDUCAÇÃO</w:t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0"/>
      </w:tabs>
      <w:ind w:left="709" w:firstLine="0"/>
    </w:pPr>
    <w:rPr>
      <w:smallCaps w:val="0"/>
      <w:sz w:val="24"/>
      <w:szCs w:val="24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firstLine="851"/>
      <w:jc w:val="both"/>
    </w:pPr>
    <w:rPr>
      <w:rFonts w:ascii="Arial" w:cs="Arial" w:eastAsia="Arial" w:hAnsi="Arial"/>
      <w:smallCaps w:val="0"/>
      <w:sz w:val="24"/>
      <w:szCs w:val="24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educacao.cachoeirinha.rs.gov.br/conselho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